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center"/>
        <w:textAlignment w:val="auto"/>
        <w:rPr>
          <w:rFonts w:hint="eastAsia" w:ascii="仿宋_GB2312" w:eastAsia="仿宋_GB2312" w:cs="方正小标宋简体-WinCharSetFFFF-H"/>
          <w:kern w:val="0"/>
          <w:sz w:val="44"/>
          <w:szCs w:val="44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center"/>
        <w:textAlignment w:val="auto"/>
        <w:rPr>
          <w:rFonts w:hint="eastAsia" w:ascii="仿宋_GB2312" w:eastAsia="仿宋_GB2312" w:cs="方正小标宋简体-WinCharSetFFFF-H"/>
          <w:kern w:val="0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center"/>
        <w:textAlignment w:val="auto"/>
        <w:rPr>
          <w:rFonts w:hint="eastAsia" w:ascii="仿宋_GB2312" w:eastAsia="仿宋_GB2312" w:cs="方正小标宋简体-WinCharSetFFFF-H"/>
          <w:kern w:val="0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center"/>
        <w:textAlignment w:val="auto"/>
        <w:rPr>
          <w:rFonts w:hint="eastAsia" w:ascii="仿宋_GB2312" w:eastAsia="仿宋_GB2312" w:cs="方正小标宋简体-WinCharSetFFFF-H"/>
          <w:kern w:val="0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center"/>
        <w:textAlignment w:val="auto"/>
        <w:rPr>
          <w:rFonts w:ascii="仿宋_GB2312" w:eastAsia="仿宋_GB2312" w:cs="方正小标宋简体-WinCharSetFFFF-H"/>
          <w:kern w:val="0"/>
          <w:sz w:val="32"/>
          <w:szCs w:val="32"/>
        </w:rPr>
      </w:pPr>
      <w:r>
        <w:rPr>
          <w:rFonts w:hint="eastAsia" w:ascii="仿宋_GB2312" w:eastAsia="仿宋_GB2312" w:cs="方正小标宋简体-WinCharSetFFFF-H"/>
          <w:kern w:val="0"/>
          <w:sz w:val="32"/>
          <w:szCs w:val="32"/>
        </w:rPr>
        <w:t>滕环字〔2</w:t>
      </w:r>
      <w:r>
        <w:rPr>
          <w:rFonts w:ascii="仿宋_GB2312" w:eastAsia="仿宋_GB2312" w:cs="方正小标宋简体-WinCharSetFFFF-H"/>
          <w:kern w:val="0"/>
          <w:sz w:val="32"/>
          <w:szCs w:val="32"/>
        </w:rPr>
        <w:t>02</w:t>
      </w:r>
      <w:r>
        <w:rPr>
          <w:rFonts w:hint="eastAsia" w:ascii="仿宋_GB2312" w:eastAsia="仿宋_GB2312" w:cs="方正小标宋简体-WinCharSetFFFF-H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方正小标宋简体-WinCharSetFFFF-H"/>
          <w:kern w:val="0"/>
          <w:sz w:val="32"/>
          <w:szCs w:val="32"/>
        </w:rPr>
        <w:t>〕</w:t>
      </w:r>
      <w:r>
        <w:rPr>
          <w:rFonts w:hint="eastAsia" w:ascii="仿宋_GB2312" w:eastAsia="仿宋_GB2312" w:cs="方正小标宋简体-WinCharSetFFFF-H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方正小标宋简体-WinCharSetFFFF-H"/>
          <w:kern w:val="0"/>
          <w:sz w:val="32"/>
          <w:szCs w:val="32"/>
        </w:rPr>
        <w:t>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center"/>
        <w:textAlignment w:val="auto"/>
        <w:rPr>
          <w:rFonts w:hint="eastAsia" w:ascii="方正小标宋简体" w:eastAsia="方正小标宋简体" w:cs="方正小标宋简体-WinCharSetFFFF-H"/>
          <w:kern w:val="0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center"/>
        <w:textAlignment w:val="auto"/>
        <w:rPr>
          <w:rFonts w:hint="eastAsia" w:ascii="方正小标宋简体" w:eastAsia="方正小标宋简体" w:cs="方正小标宋简体-WinCharSetFFFF-H"/>
          <w:kern w:val="0"/>
          <w:sz w:val="44"/>
          <w:szCs w:val="44"/>
        </w:rPr>
      </w:pPr>
      <w:r>
        <w:rPr>
          <w:rFonts w:hint="eastAsia" w:ascii="方正小标宋简体" w:eastAsia="方正小标宋简体" w:cs="方正小标宋简体-WinCharSetFFFF-H"/>
          <w:kern w:val="0"/>
          <w:sz w:val="44"/>
          <w:szCs w:val="44"/>
        </w:rPr>
        <w:t>枣庄市生态环境局滕州分局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center"/>
        <w:textAlignment w:val="auto"/>
        <w:rPr>
          <w:rFonts w:hint="eastAsia" w:ascii="方正小标宋简体" w:eastAsia="方正小标宋简体" w:cs="方正小标宋简体-WinCharSetFFFF-H"/>
          <w:kern w:val="0"/>
          <w:sz w:val="44"/>
          <w:szCs w:val="44"/>
        </w:rPr>
      </w:pPr>
      <w:r>
        <w:rPr>
          <w:rFonts w:hint="eastAsia" w:ascii="方正小标宋简体" w:eastAsia="方正小标宋简体" w:cs="方正小标宋简体-WinCharSetFFFF-H"/>
          <w:kern w:val="0"/>
          <w:sz w:val="44"/>
          <w:szCs w:val="44"/>
        </w:rPr>
        <w:t>关于印发《</w:t>
      </w:r>
      <w:r>
        <w:rPr>
          <w:rFonts w:hint="eastAsia" w:ascii="方正小标宋简体" w:eastAsia="方正小标宋简体" w:cs="方正小标宋简体-WinCharSetFFFF-H"/>
          <w:kern w:val="0"/>
          <w:sz w:val="44"/>
          <w:szCs w:val="44"/>
          <w:lang w:val="en-US" w:eastAsia="zh-CN"/>
        </w:rPr>
        <w:t>滕州市</w:t>
      </w:r>
      <w:r>
        <w:rPr>
          <w:rFonts w:hint="eastAsia" w:ascii="方正小标宋简体" w:eastAsia="方正小标宋简体" w:cs="方正小标宋简体-WinCharSetFFFF-H"/>
          <w:kern w:val="0"/>
          <w:sz w:val="44"/>
          <w:szCs w:val="44"/>
        </w:rPr>
        <w:t>生态环境保护</w:t>
      </w:r>
      <w:r>
        <w:rPr>
          <w:rFonts w:hint="eastAsia" w:ascii="方正小标宋简体" w:eastAsia="方正小标宋简体" w:cs="方正小标宋简体-WinCharSetFFFF-H"/>
          <w:kern w:val="0"/>
          <w:sz w:val="44"/>
          <w:szCs w:val="44"/>
          <w:lang w:eastAsia="zh-CN"/>
        </w:rPr>
        <w:t>基层队所站建设工作</w:t>
      </w:r>
      <w:r>
        <w:rPr>
          <w:rFonts w:hint="eastAsia" w:ascii="方正小标宋简体" w:eastAsia="方正小标宋简体" w:cs="方正小标宋简体-WinCharSetFFFF-H"/>
          <w:kern w:val="0"/>
          <w:sz w:val="44"/>
          <w:szCs w:val="44"/>
        </w:rPr>
        <w:t>实施方案》的通知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left"/>
        <w:textAlignment w:val="auto"/>
        <w:rPr>
          <w:rFonts w:ascii="仿宋_GB2312" w:eastAsia="仿宋_GB2312" w:cs="仿宋_GB2312-WinCharSetFFFF-H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textAlignment w:val="auto"/>
        <w:rPr>
          <w:rFonts w:hint="eastAsia" w:ascii="仿宋_GB2312" w:eastAsia="仿宋_GB2312" w:cs="仿宋_GB2312-WinCharSetFFFF-H"/>
          <w:kern w:val="0"/>
          <w:sz w:val="32"/>
          <w:szCs w:val="32"/>
          <w:lang w:val="en"/>
        </w:rPr>
      </w:pPr>
      <w:r>
        <w:rPr>
          <w:rFonts w:hint="eastAsia" w:ascii="仿宋_GB2312" w:eastAsia="仿宋_GB2312" w:cs="仿宋_GB2312-WinCharSetFFFF-H"/>
          <w:kern w:val="0"/>
          <w:sz w:val="32"/>
          <w:szCs w:val="32"/>
          <w:lang w:val="en"/>
        </w:rPr>
        <w:t>各</w:t>
      </w:r>
      <w:r>
        <w:rPr>
          <w:rFonts w:hint="eastAsia" w:ascii="仿宋_GB2312" w:eastAsia="仿宋_GB2312" w:cs="仿宋_GB2312-WinCharSetFFFF-H"/>
          <w:kern w:val="0"/>
          <w:sz w:val="32"/>
          <w:szCs w:val="32"/>
          <w:lang w:val="en" w:eastAsia="zh-CN"/>
        </w:rPr>
        <w:t>镇街、滕州市生态环境保护综合执法大队</w:t>
      </w:r>
      <w:r>
        <w:rPr>
          <w:rFonts w:hint="eastAsia" w:ascii="仿宋_GB2312" w:eastAsia="仿宋_GB2312" w:cs="仿宋_GB2312-WinCharSetFFFF-H"/>
          <w:kern w:val="0"/>
          <w:sz w:val="32"/>
          <w:szCs w:val="32"/>
          <w:lang w:val="e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 w:cs="仿宋_GB2312-WinCharSetFFFF-H"/>
          <w:kern w:val="0"/>
          <w:sz w:val="32"/>
          <w:szCs w:val="32"/>
        </w:rPr>
      </w:pPr>
      <w:r>
        <w:rPr>
          <w:rFonts w:hint="eastAsia" w:ascii="仿宋_GB2312" w:eastAsia="仿宋_GB2312" w:cs="仿宋_GB2312-WinCharSetFFFF-H"/>
          <w:kern w:val="0"/>
          <w:sz w:val="32"/>
          <w:szCs w:val="32"/>
        </w:rPr>
        <w:t>现将《</w:t>
      </w:r>
      <w:r>
        <w:rPr>
          <w:rFonts w:hint="eastAsia" w:ascii="仿宋_GB2312" w:eastAsia="仿宋_GB2312" w:cs="仿宋_GB2312-WinCharSetFFFF-H"/>
          <w:kern w:val="0"/>
          <w:sz w:val="32"/>
          <w:szCs w:val="32"/>
          <w:lang w:val="en-US" w:eastAsia="zh-CN"/>
        </w:rPr>
        <w:t>滕州市</w:t>
      </w:r>
      <w:r>
        <w:rPr>
          <w:rFonts w:hint="eastAsia" w:ascii="仿宋_GB2312" w:eastAsia="仿宋_GB2312" w:cs="仿宋_GB2312-WinCharSetFFFF-H"/>
          <w:kern w:val="0"/>
          <w:sz w:val="32"/>
          <w:szCs w:val="32"/>
        </w:rPr>
        <w:t>生态环境保护</w:t>
      </w:r>
      <w:r>
        <w:rPr>
          <w:rFonts w:hint="eastAsia" w:ascii="仿宋_GB2312" w:eastAsia="仿宋_GB2312" w:cs="仿宋_GB2312-WinCharSetFFFF-H"/>
          <w:kern w:val="0"/>
          <w:sz w:val="32"/>
          <w:szCs w:val="32"/>
          <w:lang w:eastAsia="zh-CN"/>
        </w:rPr>
        <w:t>基层队所站建设工作</w:t>
      </w:r>
      <w:r>
        <w:rPr>
          <w:rFonts w:hint="eastAsia" w:ascii="仿宋_GB2312" w:eastAsia="仿宋_GB2312" w:cs="仿宋_GB2312-WinCharSetFFFF-H"/>
          <w:kern w:val="0"/>
          <w:sz w:val="32"/>
          <w:szCs w:val="32"/>
        </w:rPr>
        <w:t>实施方案》印发给你们，请结合工作实际，认真组织实施。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 w:cs="仿宋_GB2312-WinCharSetFFFF-H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 w:cs="仿宋_GB2312-WinCharSetFFFF-H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 w:cs="仿宋_GB2312-WinCharSetFFFF-H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-WinCharSetFFFF-H"/>
          <w:kern w:val="0"/>
          <w:sz w:val="32"/>
          <w:szCs w:val="32"/>
        </w:rPr>
        <w:t xml:space="preserve">       </w:t>
      </w:r>
      <w:r>
        <w:rPr>
          <w:rFonts w:hint="eastAsia" w:ascii="仿宋_GB2312" w:eastAsia="仿宋_GB2312" w:cs="仿宋_GB2312-WinCharSetFFFF-H"/>
          <w:kern w:val="0"/>
          <w:sz w:val="32"/>
          <w:szCs w:val="32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4160" w:firstLineChars="1300"/>
        <w:textAlignment w:val="auto"/>
        <w:rPr>
          <w:rFonts w:hint="eastAsia" w:ascii="仿宋_GB2312" w:eastAsia="仿宋_GB2312" w:cs="仿宋_GB2312-WinCharSetFFFF-H"/>
          <w:kern w:val="0"/>
          <w:sz w:val="32"/>
          <w:szCs w:val="32"/>
        </w:rPr>
      </w:pPr>
      <w:r>
        <w:rPr>
          <w:rFonts w:hint="eastAsia" w:ascii="仿宋_GB2312" w:eastAsia="仿宋_GB2312" w:cs="仿宋_GB2312-WinCharSetFFFF-H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 w:cs="仿宋_GB2312-WinCharSetFFFF-H"/>
          <w:kern w:val="0"/>
          <w:sz w:val="32"/>
          <w:szCs w:val="32"/>
        </w:rPr>
        <w:t>枣庄市生态环境局滕州分局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 w:cs="仿宋_GB2312-WinCharSetFFFF-H"/>
          <w:kern w:val="0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1701" w:right="1701" w:bottom="1701" w:left="1701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仿宋_GB2312" w:eastAsia="仿宋_GB2312" w:cs="仿宋_GB2312-WinCharSetFFFF-H"/>
          <w:kern w:val="0"/>
          <w:sz w:val="32"/>
          <w:szCs w:val="32"/>
        </w:rPr>
        <w:t xml:space="preserve">                             202</w:t>
      </w:r>
      <w:r>
        <w:rPr>
          <w:rFonts w:hint="eastAsia" w:ascii="仿宋_GB2312" w:eastAsia="仿宋_GB2312" w:cs="仿宋_GB2312-WinCharSetFFFF-H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-WinCharSetFFFF-H"/>
          <w:kern w:val="0"/>
          <w:sz w:val="32"/>
          <w:szCs w:val="32"/>
        </w:rPr>
        <w:t>年</w:t>
      </w:r>
      <w:r>
        <w:rPr>
          <w:rFonts w:hint="eastAsia" w:ascii="仿宋_GB2312" w:eastAsia="仿宋_GB2312" w:cs="仿宋_GB2312-WinCharSetFFFF-H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仿宋_GB2312-WinCharSetFFFF-H"/>
          <w:kern w:val="0"/>
          <w:sz w:val="32"/>
          <w:szCs w:val="32"/>
        </w:rPr>
        <w:t>月</w:t>
      </w:r>
      <w:r>
        <w:rPr>
          <w:rFonts w:hint="eastAsia" w:ascii="仿宋_GB2312" w:eastAsia="仿宋_GB2312" w:cs="仿宋_GB2312-WinCharSetFFFF-H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-WinCharSetFFFF-H"/>
          <w:kern w:val="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 w:cs="方正小标宋简体-WinCharSetFFFF-H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滕州市</w:t>
      </w:r>
      <w:r>
        <w:rPr>
          <w:rFonts w:hint="eastAsia" w:ascii="方正小标宋简体" w:eastAsia="方正小标宋简体" w:cs="方正小标宋简体-WinCharSetFFFF-H"/>
          <w:kern w:val="0"/>
          <w:sz w:val="44"/>
          <w:szCs w:val="44"/>
        </w:rPr>
        <w:t>生态环境保护</w:t>
      </w:r>
      <w:r>
        <w:rPr>
          <w:rFonts w:hint="eastAsia" w:ascii="方正小标宋简体" w:eastAsia="方正小标宋简体" w:cs="方正小标宋简体-WinCharSetFFFF-H"/>
          <w:kern w:val="0"/>
          <w:sz w:val="44"/>
          <w:szCs w:val="44"/>
          <w:lang w:eastAsia="zh-CN"/>
        </w:rPr>
        <w:t>基层队所站建设工作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实施方案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为进一步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加强基层生态环境保护能力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建设，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整合、利用镇街环保所的力量，探索开启生态环境保护基层综合执法新模式，推动执法力量下沉办实事、解难题，打通基层生态环境治理的“最后一公里”。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枣庄市生态环境局《加快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推进全市域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生态环境保护执法机构规范化建设工作方案》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枣环字〔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67号 ）和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《枣庄市加强生态环境保护基层队所站建设工作实施方案》（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枣环字〔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69号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）等文件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要求，结合我市实际，制定本方案。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基本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-WinCharSetFFFF-H"/>
          <w:kern w:val="0"/>
          <w:sz w:val="32"/>
          <w:szCs w:val="32"/>
        </w:rPr>
        <w:t>以习近平生态文明思想和习近平法治思想为根本遵循，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按照枣庄市生态环境保护执法机构规范化建设要求，坚持“立足实际、满足需求、符合规范、突出特色”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原则，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在现有基础上，优化机构设置和人员配置，力争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2024年4月底前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完成全市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6个生态环境保护执法中队、21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生态环境保护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规范化建设，并探索打造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1个生态联合驻巡站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，着力构建“查治防”一体化基层监管新模式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，实现“队所站”有机贯通、高效协同，全面提升基层生态环境保护能力水平。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二、工作措施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（一）统一规范化建设标准。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按照标准化、信息化、规范化建设要求，推进办公用房、执法装备、执法标志、管理制度等标准统一。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办公用房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依托现有办公用房，按照职责任务和功能需要，升级打造党建活动室、调查询问室、执法设备间、档案室、信访接待室等场所，统一内部设计及办公装备。有条件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镇街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，可结合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实际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需求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，打造有特色、有亮点的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功能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区；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条件受限的，相关用房可以整合多功能使用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执法装备。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按照“因地制宜、满足需求、高效实用”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原则，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统一配备调查取证设备、快速检测设备、应急防护设备及必要交通工具。同时，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根据辖区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生态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环境执法需求，参照《生态环境保护综合行政执法装备标准化建设指导标准(2020年版)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配备必要的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执法装备。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执法标志。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统一基层队所站名称为“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生态环境保护所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 w:eastAsia="zh-CN"/>
        </w:rPr>
        <w:t>/xx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生态联合驻巡站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统一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执法制式服装，统一办公用房文化墙设计，统一办公用品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、对外宣传设施、专用执法装备、执法车辆等生态环境执法标志。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管理制度。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建立统一的日常管理制度、着装规范规定、装备使用规定、现场检查规程、廉洁保密制度等规范制度，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明确工作职责、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工作规范和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纪律要求。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（二）一体推进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“队所站”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建设。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生态环境保护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依托现有办公条件，按照规范化建设要求，实施提标升级改造，统一功能设计、形象标准、管理制度。按照流域治理和生态保护需要，依托现有基础条件，采取职能部门与镇街联建联用的形式，探索打造滕州滨湖湿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生态联合驻巡站，以镇街综合执法为主、分局联合执法为辅，开展联合驻巡监督。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（三）明确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“队所站”职责分工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立足工作实际，优化职能配置，构建执法中队主查、镇街所主治、联合驻巡站主防的“查治防”一体化基层监管新模式。生态环境保护执法中队负责所辖镇街日常执法、案件查处、信访核查等工作，依法查处生态环境违法问题，对所辖镇街生态环境保护所进行业务指导和督导调度，并视情配合联合驻巡站开展驻巡监督。镇街生态环境保护所负责辖区日常巡查、“散乱污”治理、秸秆禁烧、信访处理等工作，推动生态环境突出问题整治，违法问题线索及时移交执法中队查处。生态联合驻巡站负责跨镇域、跨流域生态监管及联合巡查等工作，有效预防生态破坏问题发生，发现违法问题线索及时移交有关部门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（四）强化财政资金支持。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按照分级筹措的原则，有力保障规范化建设资金。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镇街生态环境保护所规范化建设资金，由各镇街财政负责保障；生态联合驻巡站建设，由涉及的镇街财政负责保障。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（五）强化基层人员保障。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充实执法中队人员力量，保障每个执法中队在编在岗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执法人员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不低于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名，扩充镇街生态环境保护所人员力量，每个所参与一线执法的在编人员不得低于2名。生态驻巡站以镇街长驻常巡为主，人员采取定岗或轮岗的方式，由镇街统筹安排；分局牵头组织有关职能部门，定期安排执法人员开展联合巡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三、工作步骤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(一)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试点先行、示范引领（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2024年2月底前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选取善南街道、木石镇、东郭镇、南沙河镇和滨湖镇作为试点单位，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开展生态环境保护所规范化建设。选取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滕州滨湖湿地（滨湖镇）作为试点单位，开展生态联合驻巡站建设。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2024年2月底前，完成基层队所站规范化建设试点工作，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形成有特色、可复制、可推广的实践经验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 xml:space="preserve">(二) 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全域覆盖、全面铺开（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2024年4月底前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在完成试点的基础上，剩余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16个镇街生态环境保护所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规范化建设工作全面铺开，并有序推进其他生态联合驻巡站建设，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2024年4月底前，实现基层队站所规范化建设全域覆盖。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四、有关要求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（一）提高政治站位。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各镇街要树立全市上下“一盘棋”思想，把基层队所站规范化建设作为贯彻落实习近平生态文明思想、提升基层生态环境治理能力的重要举措，认真谋划部署、高位高标推动，明确主要领导亲自抓、分管领导靠上抓、工作人员具体抓，确保高质高效完成基层队所站规范化建设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（二）压紧压实责任。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滕州市生态环境保护综合执法大队要担起生态环境保护所、生态联合驻巡站规范化建设的督促指导责任，认真研究基层队所站规范化建设的标准要求，靠上指导基层队所站科学布局谋划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，积极争取财政资金支持。各镇街要担起生态环境保护所、生态联合驻巡站规范化建设的主体责任，实行项目化管理，建立责任清单，明确目标任务、责任到人，倒排工期、挂图作战，有力有序推进。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（三）加强督促指导。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滕州市生态环境保护综合执法大队要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成立基层队所站规范化建设督促指导组，全程跟踪、实地指导基层队所站规范化建设工作。同时建立帮包联系制度，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帮包联系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生态环境保护所、生态联合驻巡站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建设工作，明确帮包联系人和帮包责任，定期调度工作进展，确保如期完成工作任务。</w:t>
      </w:r>
    </w:p>
    <w:p>
      <w:pPr>
        <w:rPr>
          <w:rFonts w:hint="eastAsia"/>
          <w:color w:val="auto"/>
          <w:lang w:val="en-US" w:eastAsia="zh-CN"/>
        </w:rPr>
      </w:pP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" w:eastAsia="仿宋_GB2312" w:cs="仿宋"/>
          <w:color w:val="auto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-WinCharSetFFFF-H">
    <w:altName w:val="方正小标宋_GBK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-WinCharSetFFFF-H">
    <w:altName w:val="方正仿宋_GBK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7"/>
                  <w:rPr>
                    <w:rStyle w:val="14"/>
                    <w:rFonts w:ascii="宋体" w:hAnsi="宋体" w:eastAsia="宋体"/>
                    <w:sz w:val="24"/>
                    <w:szCs w:val="24"/>
                  </w:rPr>
                </w:pPr>
                <w:r>
                  <w:rPr>
                    <w:rStyle w:val="14"/>
                    <w:rFonts w:ascii="宋体" w:hAnsi="宋体" w:eastAsia="宋体"/>
                    <w:sz w:val="24"/>
                    <w:szCs w:val="24"/>
                  </w:rPr>
                  <w:fldChar w:fldCharType="begin"/>
                </w:r>
                <w:r>
                  <w:rPr>
                    <w:rStyle w:val="14"/>
                    <w:rFonts w:ascii="宋体" w:hAnsi="宋体" w:eastAsia="宋体"/>
                    <w:sz w:val="24"/>
                    <w:szCs w:val="24"/>
                  </w:rPr>
                  <w:instrText xml:space="preserve">PAGE  </w:instrText>
                </w:r>
                <w:r>
                  <w:rPr>
                    <w:rStyle w:val="14"/>
                    <w:rFonts w:ascii="宋体" w:hAnsi="宋体" w:eastAsia="宋体"/>
                    <w:sz w:val="24"/>
                    <w:szCs w:val="24"/>
                  </w:rPr>
                  <w:fldChar w:fldCharType="separate"/>
                </w:r>
                <w:r>
                  <w:rPr>
                    <w:rStyle w:val="14"/>
                    <w:rFonts w:ascii="宋体" w:hAnsi="宋体" w:eastAsia="宋体"/>
                    <w:sz w:val="24"/>
                    <w:szCs w:val="24"/>
                  </w:rPr>
                  <w:t>- 45 -</w:t>
                </w:r>
                <w:r>
                  <w:rPr>
                    <w:rStyle w:val="14"/>
                    <w:rFonts w:ascii="宋体" w:hAnsi="宋体" w:eastAsia="宋体"/>
                    <w:sz w:val="24"/>
                    <w:szCs w:val="24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ascii="宋体" w:hAnsi="宋体" w:eastAsia="宋体"/>
        <w:sz w:val="24"/>
        <w:szCs w:val="24"/>
      </w:rPr>
    </w:pPr>
    <w:r>
      <w:rPr>
        <w:rFonts w:ascii="宋体" w:hAnsi="宋体" w:eastAsia="宋体"/>
        <w:sz w:val="24"/>
        <w:szCs w:val="24"/>
      </w:rPr>
      <w:fldChar w:fldCharType="begin"/>
    </w:r>
    <w:r>
      <w:rPr>
        <w:rFonts w:ascii="宋体" w:hAnsi="宋体" w:eastAsia="宋体"/>
        <w:sz w:val="24"/>
        <w:szCs w:val="24"/>
      </w:rPr>
      <w:instrText xml:space="preserve"> PAGE   \* MERGEFORMAT </w:instrText>
    </w:r>
    <w:r>
      <w:rPr>
        <w:rFonts w:ascii="宋体" w:hAnsi="宋体" w:eastAsia="宋体"/>
        <w:sz w:val="24"/>
        <w:szCs w:val="24"/>
      </w:rPr>
      <w:fldChar w:fldCharType="separate"/>
    </w:r>
    <w:r>
      <w:rPr>
        <w:rFonts w:ascii="宋体" w:hAnsi="宋体" w:eastAsia="宋体"/>
        <w:sz w:val="24"/>
        <w:szCs w:val="24"/>
        <w:lang w:val="zh-CN"/>
      </w:rPr>
      <w:t>-</w:t>
    </w:r>
    <w:r>
      <w:rPr>
        <w:rFonts w:ascii="宋体" w:hAnsi="宋体" w:eastAsia="宋体"/>
        <w:sz w:val="24"/>
        <w:szCs w:val="24"/>
      </w:rPr>
      <w:t xml:space="preserve"> 44 -</w:t>
    </w:r>
    <w:r>
      <w:rPr>
        <w:rFonts w:ascii="宋体" w:hAnsi="宋体" w:eastAsia="宋体"/>
        <w:sz w:val="24"/>
        <w:szCs w:val="24"/>
        <w:lang w:val="zh-CN"/>
      </w:rPr>
      <w:fldChar w:fldCharType="end"/>
    </w:r>
  </w:p>
  <w:p>
    <w:pPr>
      <w:pStyle w:val="7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hhMDFmNjllOWU2MzUyYTdkNGE0MmU0ZDEwZmJhMTcifQ=="/>
  </w:docVars>
  <w:rsids>
    <w:rsidRoot w:val="3BA80ECE"/>
    <w:rsid w:val="003534E6"/>
    <w:rsid w:val="004D1403"/>
    <w:rsid w:val="0068427C"/>
    <w:rsid w:val="00755A4B"/>
    <w:rsid w:val="007612B1"/>
    <w:rsid w:val="00867DF6"/>
    <w:rsid w:val="00B0175A"/>
    <w:rsid w:val="00E05D72"/>
    <w:rsid w:val="00EC6965"/>
    <w:rsid w:val="00F700D9"/>
    <w:rsid w:val="03366A09"/>
    <w:rsid w:val="03C7027B"/>
    <w:rsid w:val="058A34FF"/>
    <w:rsid w:val="05BF45AA"/>
    <w:rsid w:val="05FE4A5E"/>
    <w:rsid w:val="0A962F23"/>
    <w:rsid w:val="0BC2737A"/>
    <w:rsid w:val="0D867D07"/>
    <w:rsid w:val="0D976230"/>
    <w:rsid w:val="0F2A5FF8"/>
    <w:rsid w:val="0F563DE6"/>
    <w:rsid w:val="105C1DA8"/>
    <w:rsid w:val="136035C4"/>
    <w:rsid w:val="1472076A"/>
    <w:rsid w:val="15433069"/>
    <w:rsid w:val="17CA7278"/>
    <w:rsid w:val="194A5C14"/>
    <w:rsid w:val="19B06242"/>
    <w:rsid w:val="19C66324"/>
    <w:rsid w:val="19CF06DA"/>
    <w:rsid w:val="1BBF1A4A"/>
    <w:rsid w:val="1CBE0C0B"/>
    <w:rsid w:val="1D4F1A4B"/>
    <w:rsid w:val="1E3D4128"/>
    <w:rsid w:val="1ED3045A"/>
    <w:rsid w:val="2022525B"/>
    <w:rsid w:val="20395446"/>
    <w:rsid w:val="22462CF1"/>
    <w:rsid w:val="230711CF"/>
    <w:rsid w:val="24804C27"/>
    <w:rsid w:val="25050C41"/>
    <w:rsid w:val="25AC730F"/>
    <w:rsid w:val="25D643FA"/>
    <w:rsid w:val="26040EF9"/>
    <w:rsid w:val="26905979"/>
    <w:rsid w:val="27D70074"/>
    <w:rsid w:val="28A56DCA"/>
    <w:rsid w:val="29191F29"/>
    <w:rsid w:val="2A697EC4"/>
    <w:rsid w:val="2B512271"/>
    <w:rsid w:val="2DAE748B"/>
    <w:rsid w:val="2F5B1498"/>
    <w:rsid w:val="31122F20"/>
    <w:rsid w:val="320919AF"/>
    <w:rsid w:val="35BB7C2E"/>
    <w:rsid w:val="371B123D"/>
    <w:rsid w:val="37FA316E"/>
    <w:rsid w:val="3BA80ECE"/>
    <w:rsid w:val="3D4E4CF4"/>
    <w:rsid w:val="3EF44104"/>
    <w:rsid w:val="3F753C63"/>
    <w:rsid w:val="41DE3D8B"/>
    <w:rsid w:val="422B13C3"/>
    <w:rsid w:val="4321025E"/>
    <w:rsid w:val="44AE1270"/>
    <w:rsid w:val="46C82383"/>
    <w:rsid w:val="4AEA3021"/>
    <w:rsid w:val="4C8553F3"/>
    <w:rsid w:val="52691F60"/>
    <w:rsid w:val="55E0261E"/>
    <w:rsid w:val="56D976B4"/>
    <w:rsid w:val="59D465AA"/>
    <w:rsid w:val="5B9D4C94"/>
    <w:rsid w:val="5BDA280C"/>
    <w:rsid w:val="5BE904F2"/>
    <w:rsid w:val="6071095D"/>
    <w:rsid w:val="623F1316"/>
    <w:rsid w:val="62E41191"/>
    <w:rsid w:val="62F26344"/>
    <w:rsid w:val="63CE60C7"/>
    <w:rsid w:val="64D4770D"/>
    <w:rsid w:val="6F2351BF"/>
    <w:rsid w:val="6F9119BD"/>
    <w:rsid w:val="6FEF0FDD"/>
    <w:rsid w:val="6FFF9AEB"/>
    <w:rsid w:val="72DD8ABC"/>
    <w:rsid w:val="738E13CF"/>
    <w:rsid w:val="74386E09"/>
    <w:rsid w:val="74E53270"/>
    <w:rsid w:val="75897CC2"/>
    <w:rsid w:val="763B74BF"/>
    <w:rsid w:val="767D46DE"/>
    <w:rsid w:val="767FB08C"/>
    <w:rsid w:val="77EF4414"/>
    <w:rsid w:val="789613E8"/>
    <w:rsid w:val="7A853AB6"/>
    <w:rsid w:val="7ADF3A6A"/>
    <w:rsid w:val="7B334FE3"/>
    <w:rsid w:val="7BA46990"/>
    <w:rsid w:val="7DF391BB"/>
    <w:rsid w:val="7DFFDDA4"/>
    <w:rsid w:val="7E417A35"/>
    <w:rsid w:val="7E63189B"/>
    <w:rsid w:val="7E93A9BD"/>
    <w:rsid w:val="7E9F7F4E"/>
    <w:rsid w:val="7EACDA58"/>
    <w:rsid w:val="7EEF2686"/>
    <w:rsid w:val="9B7F16A8"/>
    <w:rsid w:val="9ED5D5E5"/>
    <w:rsid w:val="AAE72EE9"/>
    <w:rsid w:val="B5CFEB7E"/>
    <w:rsid w:val="B6B4E275"/>
    <w:rsid w:val="B7FF3F94"/>
    <w:rsid w:val="BEFF1C1B"/>
    <w:rsid w:val="BF2B6586"/>
    <w:rsid w:val="BFDB02B9"/>
    <w:rsid w:val="C93352EB"/>
    <w:rsid w:val="CF9D3EF6"/>
    <w:rsid w:val="D3FE53A8"/>
    <w:rsid w:val="D5FF3390"/>
    <w:rsid w:val="D6FD2D9F"/>
    <w:rsid w:val="EDCA7F29"/>
    <w:rsid w:val="EDFBB7F1"/>
    <w:rsid w:val="EDFFDF84"/>
    <w:rsid w:val="EFEE60CF"/>
    <w:rsid w:val="EFF93A7E"/>
    <w:rsid w:val="EFFB4850"/>
    <w:rsid w:val="EFFF40DD"/>
    <w:rsid w:val="F1BEAF4F"/>
    <w:rsid w:val="F31E343E"/>
    <w:rsid w:val="FA5FB592"/>
    <w:rsid w:val="FBF7304A"/>
    <w:rsid w:val="FBFBD353"/>
    <w:rsid w:val="FCF6B38B"/>
    <w:rsid w:val="FDFF6ACC"/>
    <w:rsid w:val="FE3978CE"/>
    <w:rsid w:val="FE9F5E1F"/>
    <w:rsid w:val="FE9FE12B"/>
    <w:rsid w:val="FEF33C1C"/>
    <w:rsid w:val="FF364DD7"/>
    <w:rsid w:val="FFD7CB5F"/>
    <w:rsid w:val="FFEE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next w:val="1"/>
    <w:qFormat/>
    <w:uiPriority w:val="0"/>
    <w:pPr>
      <w:widowControl w:val="0"/>
      <w:spacing w:before="120"/>
      <w:jc w:val="both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paragraph" w:styleId="5">
    <w:name w:val="Normal Indent"/>
    <w:basedOn w:val="1"/>
    <w:next w:val="1"/>
    <w:qFormat/>
    <w:uiPriority w:val="0"/>
    <w:pPr>
      <w:ind w:firstLine="420" w:firstLineChars="200"/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itle"/>
    <w:basedOn w:val="1"/>
    <w:next w:val="1"/>
    <w:qFormat/>
    <w:uiPriority w:val="0"/>
    <w:pPr>
      <w:spacing w:line="620" w:lineRule="exact"/>
      <w:ind w:firstLine="200" w:firstLineChars="200"/>
      <w:outlineLvl w:val="0"/>
    </w:pPr>
    <w:rPr>
      <w:rFonts w:ascii="等线 Light" w:hAnsi="等线 Light" w:eastAsia="黑体"/>
      <w:bCs/>
      <w:sz w:val="32"/>
      <w:szCs w:val="32"/>
    </w:rPr>
  </w:style>
  <w:style w:type="paragraph" w:styleId="10">
    <w:name w:val="Body Text First Indent 2"/>
    <w:basedOn w:val="6"/>
    <w:qFormat/>
    <w:uiPriority w:val="0"/>
    <w:pPr>
      <w:ind w:firstLine="420"/>
    </w:pPr>
    <w:rPr>
      <w:rFonts w:ascii="仿宋_GB2312"/>
      <w:szCs w:val="20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qFormat/>
    <w:uiPriority w:val="99"/>
    <w:rPr>
      <w:rFonts w:cs="Times New Roman"/>
    </w:rPr>
  </w:style>
  <w:style w:type="paragraph" w:customStyle="1" w:styleId="15">
    <w:name w:val="TOC1"/>
    <w:basedOn w:val="1"/>
    <w:next w:val="1"/>
    <w:qFormat/>
    <w:locked/>
    <w:uiPriority w:val="0"/>
    <w:pPr>
      <w:spacing w:line="660" w:lineRule="exact"/>
      <w:ind w:firstLine="705"/>
      <w:textAlignment w:val="baseline"/>
    </w:pPr>
    <w:rPr>
      <w:rFonts w:ascii="仿宋_GB2312" w:eastAsia="仿宋_GB2312"/>
      <w:color w:val="000000"/>
      <w:sz w:val="36"/>
      <w:szCs w:val="36"/>
    </w:rPr>
  </w:style>
  <w:style w:type="paragraph" w:customStyle="1" w:styleId="16">
    <w:name w:val="_Style 1"/>
    <w:basedOn w:val="1"/>
    <w:qFormat/>
    <w:uiPriority w:val="0"/>
    <w:pPr>
      <w:spacing w:line="481" w:lineRule="atLeast"/>
      <w:ind w:firstLine="623"/>
    </w:pPr>
    <w:rPr>
      <w:rFonts w:ascii="Calibri" w:hAnsi="Calibri" w:eastAsia="宋体" w:cs="Times New Roman"/>
      <w:color w:val="000000"/>
      <w:sz w:val="31"/>
    </w:rPr>
  </w:style>
  <w:style w:type="character" w:customStyle="1" w:styleId="17">
    <w:name w:val="页眉 Char"/>
    <w:basedOn w:val="12"/>
    <w:link w:val="8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338</Words>
  <Characters>1928</Characters>
  <Lines>16</Lines>
  <Paragraphs>4</Paragraphs>
  <TotalTime>27</TotalTime>
  <ScaleCrop>false</ScaleCrop>
  <LinksUpToDate>false</LinksUpToDate>
  <CharactersWithSpaces>2262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2021-11-21T02:55:00Z</dcterms:created>
  <dc:creator>liang^_^</dc:creator>
  <cp:lastModifiedBy>user</cp:lastModifiedBy>
  <cp:lastPrinted>2024-02-22T10:57:41Z</cp:lastPrinted>
  <dcterms:modified xsi:type="dcterms:W3CDTF">2024-02-22T10:57:50Z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E97CAC02EADD49DE8194A73121784F97</vt:lpwstr>
  </property>
</Properties>
</file>